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隶书"/>
          <w:b/>
          <w:bCs/>
          <w:spacing w:val="-20"/>
          <w:sz w:val="32"/>
          <w:szCs w:val="24"/>
        </w:rPr>
      </w:pPr>
    </w:p>
    <w:p>
      <w:pPr>
        <w:rPr>
          <w:rFonts w:ascii="宋体" w:cs="仿宋"/>
          <w:b/>
          <w:sz w:val="48"/>
          <w:szCs w:val="48"/>
        </w:rPr>
      </w:pPr>
    </w:p>
    <w:p>
      <w:pPr>
        <w:spacing w:line="360" w:lineRule="auto"/>
        <w:jc w:val="center"/>
        <w:rPr>
          <w:rFonts w:ascii="华文中宋" w:hAnsi="华文中宋" w:eastAsia="华文中宋" w:cs="黑体"/>
          <w:b/>
          <w:bCs/>
          <w:sz w:val="48"/>
          <w:szCs w:val="48"/>
        </w:rPr>
      </w:pPr>
      <w:r>
        <w:rPr>
          <w:rFonts w:hint="eastAsia" w:ascii="华文中宋" w:hAnsi="华文中宋" w:eastAsia="华文中宋" w:cs="黑体"/>
          <w:b/>
          <w:bCs/>
          <w:sz w:val="48"/>
          <w:szCs w:val="48"/>
        </w:rPr>
        <w:t>沈阳科技学院</w:t>
      </w:r>
    </w:p>
    <w:p>
      <w:pPr>
        <w:spacing w:line="360" w:lineRule="auto"/>
        <w:jc w:val="center"/>
        <w:rPr>
          <w:rFonts w:hint="eastAsia" w:ascii="华文中宋" w:hAnsi="华文中宋" w:eastAsia="华文中宋" w:cs="黑体"/>
          <w:b/>
          <w:bCs/>
          <w:sz w:val="48"/>
          <w:szCs w:val="48"/>
        </w:rPr>
      </w:pPr>
      <w:r>
        <w:rPr>
          <w:rFonts w:hint="eastAsia" w:ascii="华文中宋" w:hAnsi="华文中宋" w:eastAsia="华文中宋" w:cs="黑体"/>
          <w:b/>
          <w:bCs/>
          <w:sz w:val="48"/>
          <w:szCs w:val="48"/>
        </w:rPr>
        <w:t>一流</w:t>
      </w:r>
      <w:r>
        <w:rPr>
          <w:rFonts w:hint="eastAsia" w:ascii="华文中宋" w:hAnsi="华文中宋" w:eastAsia="华文中宋" w:cs="黑体"/>
          <w:b/>
          <w:bCs/>
          <w:sz w:val="48"/>
          <w:szCs w:val="48"/>
          <w:lang w:eastAsia="zh-CN"/>
        </w:rPr>
        <w:t>（</w:t>
      </w:r>
      <w:r>
        <w:rPr>
          <w:rFonts w:hint="eastAsia" w:ascii="华文中宋" w:hAnsi="华文中宋" w:eastAsia="华文中宋" w:cs="黑体"/>
          <w:b/>
          <w:bCs/>
          <w:sz w:val="48"/>
          <w:szCs w:val="48"/>
          <w:lang w:val="en-US" w:eastAsia="zh-CN"/>
        </w:rPr>
        <w:t>特色）</w:t>
      </w:r>
      <w:r>
        <w:rPr>
          <w:rFonts w:hint="eastAsia" w:ascii="华文中宋" w:hAnsi="华文中宋" w:eastAsia="华文中宋" w:cs="黑体"/>
          <w:b/>
          <w:bCs/>
          <w:sz w:val="48"/>
          <w:szCs w:val="48"/>
        </w:rPr>
        <w:t>本科专业</w:t>
      </w: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8"/>
          <w:szCs w:val="48"/>
        </w:rPr>
        <w:t>建设点实施方案简表</w:t>
      </w:r>
    </w:p>
    <w:p>
      <w:pPr>
        <w:rPr>
          <w:rFonts w:ascii="Times New Roman" w:hAnsi="Times New Roman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37"/>
        <w:tblW w:w="78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68" w:type="dxa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spacing w:val="59"/>
                <w:kern w:val="0"/>
                <w:sz w:val="32"/>
                <w:szCs w:val="36"/>
              </w:rPr>
              <w:t>专业名称</w:t>
            </w: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  <w:lang w:val="zh-CN"/>
              </w:rPr>
              <w:t>：</w:t>
            </w:r>
          </w:p>
        </w:tc>
        <w:tc>
          <w:tcPr>
            <w:tcW w:w="55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/>
                <w:spacing w:val="12"/>
                <w:kern w:val="0"/>
                <w:sz w:val="32"/>
                <w:szCs w:val="36"/>
                <w:lang w:val="zh-CN"/>
              </w:rPr>
              <w:t>建设点级别</w:t>
            </w:r>
            <w:r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  <w:t>：</w:t>
            </w:r>
          </w:p>
        </w:tc>
        <w:tc>
          <w:tcPr>
            <w:tcW w:w="55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600" w:firstLineChars="200"/>
              <w:rPr>
                <w:rFonts w:hint="default" w:ascii="黑体" w:eastAsia="黑体" w:cs="黑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黑体" w:eastAsia="黑体" w:cs="黑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 xml:space="preserve">省级      </w:t>
            </w:r>
            <w:r>
              <w:rPr>
                <w:rFonts w:hint="eastAsia" w:ascii="黑体" w:eastAsia="黑体" w:cs="黑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 w:cs="黑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68" w:type="dxa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  <w:lang w:val="en-US" w:eastAsia="zh-CN"/>
              </w:rPr>
              <w:t>教学单位</w:t>
            </w:r>
            <w:r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  <w:t>：</w:t>
            </w:r>
          </w:p>
        </w:tc>
        <w:tc>
          <w:tcPr>
            <w:tcW w:w="55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8" w:type="dxa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/>
                <w:spacing w:val="12"/>
                <w:kern w:val="0"/>
                <w:sz w:val="32"/>
                <w:szCs w:val="36"/>
              </w:rPr>
              <w:t>专业负责人</w:t>
            </w:r>
            <w:r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  <w:t>：</w:t>
            </w:r>
          </w:p>
        </w:tc>
        <w:tc>
          <w:tcPr>
            <w:tcW w:w="55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8" w:type="dxa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</w:rPr>
              <w:t>联系电话</w:t>
            </w:r>
            <w:r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</w:rPr>
              <w:t>：</w:t>
            </w:r>
          </w:p>
        </w:tc>
        <w:tc>
          <w:tcPr>
            <w:tcW w:w="55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8" w:type="dxa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  <w:lang w:val="zh-CN"/>
              </w:rPr>
              <w:t>建设团队</w:t>
            </w:r>
            <w:r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  <w:t>：</w:t>
            </w:r>
          </w:p>
        </w:tc>
        <w:tc>
          <w:tcPr>
            <w:tcW w:w="55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720" w:lineRule="exact"/>
        <w:ind w:firstLine="1440" w:firstLineChars="400"/>
        <w:rPr>
          <w:rFonts w:ascii="Arial" w:hAnsi="Arial" w:eastAsia="楷体_GB2312"/>
          <w:sz w:val="36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  <w:r>
        <w:rPr>
          <w:rFonts w:ascii="Arial" w:hAnsi="Arial" w:eastAsia="楷体_GB2312"/>
          <w:sz w:val="36"/>
          <w:szCs w:val="24"/>
        </w:rPr>
        <w:t xml:space="preserve"> </w:t>
      </w: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教务处制</w:t>
      </w:r>
      <w:r>
        <w:rPr>
          <w:rFonts w:ascii="Arial" w:hAnsi="Arial" w:eastAsia="楷体_GB2312"/>
          <w:sz w:val="36"/>
          <w:szCs w:val="24"/>
        </w:rPr>
        <w:br w:type="page"/>
      </w:r>
      <w:r>
        <w:rPr>
          <w:rFonts w:hint="eastAsia" w:ascii="楷体" w:hAnsi="楷体" w:eastAsia="楷体"/>
          <w:b/>
          <w:sz w:val="32"/>
          <w:szCs w:val="32"/>
        </w:rPr>
        <w:t>一、专业建设基本情况与存在问题分析</w:t>
      </w:r>
    </w:p>
    <w:tbl>
      <w:tblPr>
        <w:tblStyle w:val="7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841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总结自确立一流专业后专业建设基本情况，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对照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一流专业建设标准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、国内外同类一流专业状况、本专业预期培养特色，简析专业建设面临的主要问题（专业定位与特色、师资队伍建设、教学改革与建设、教学质量保障体系建设、毕业生培养质量、教学成果等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并附本专业教师名单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限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3000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 w:cs="宋体"/>
          <w:b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二、校级、省部级以上标志性成果建设规划（省一流专业以省部级成果为主）</w:t>
      </w:r>
    </w:p>
    <w:tbl>
      <w:tblPr>
        <w:tblStyle w:val="7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5329"/>
        <w:gridCol w:w="3483"/>
        <w:gridCol w:w="3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3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建设期内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建设要求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任务）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目前建设情况</w:t>
            </w:r>
          </w:p>
          <w:p>
            <w:pPr>
              <w:jc w:val="center"/>
              <w:rPr>
                <w:rFonts w:hint="default" w:ascii="仿宋" w:hAnsi="仿宋" w:eastAsia="仿宋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确立一流专业后，截止到2023年底成果）</w:t>
            </w:r>
          </w:p>
        </w:tc>
        <w:tc>
          <w:tcPr>
            <w:tcW w:w="38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规划成果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（明确的成果，实现建设要求）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专业（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思政</w:t>
            </w:r>
          </w:p>
        </w:tc>
        <w:tc>
          <w:tcPr>
            <w:tcW w:w="5329" w:type="dxa"/>
            <w:tcBorders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省一流专业新增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项校级以上课程思政教学项目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（示范课程、教学研究项目、基层教学组织）。</w:t>
            </w:r>
          </w:p>
          <w:p>
            <w:pPr>
              <w:pStyle w:val="17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校一流专业新增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项校级以上课程思政教学项目。</w:t>
            </w:r>
          </w:p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省（校）级一流专业在专业思政、课程思政方面，总结出指导性意见，汇编课程思政经典案例。</w:t>
            </w:r>
          </w:p>
        </w:tc>
        <w:tc>
          <w:tcPr>
            <w:tcW w:w="3483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（例：已有省级课程思政示范课程1门）</w:t>
            </w:r>
          </w:p>
        </w:tc>
        <w:tc>
          <w:tcPr>
            <w:tcW w:w="3803" w:type="dxa"/>
            <w:tcBorders>
              <w:right w:val="single" w:color="auto" w:sz="4" w:space="0"/>
            </w:tcBorders>
          </w:tcPr>
          <w:p>
            <w:pPr>
              <w:pStyle w:val="17"/>
              <w:ind w:left="360"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例：新增省（校级）级课程思政示范课程1门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师资队伍建设</w:t>
            </w:r>
          </w:p>
        </w:tc>
        <w:tc>
          <w:tcPr>
            <w:tcW w:w="532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省一流专业新增至少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名在省级教指委、行业协会、学术团体担任重要职务</w:t>
            </w:r>
          </w:p>
          <w:p>
            <w:pPr>
              <w:pStyle w:val="17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校一流专业新增至少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名在省级教指委、行业协会、学术团体担任重要职务</w:t>
            </w:r>
          </w:p>
        </w:tc>
        <w:tc>
          <w:tcPr>
            <w:tcW w:w="3483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例：已有省级教指委委员1人，某某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0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例：新增省级教指委委员1人，某某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省级一流专业新增省级以上教学竞赛、名师、团队等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项，校级至少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项。</w:t>
            </w:r>
          </w:p>
          <w:p>
            <w:pPr>
              <w:pStyle w:val="17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校级一流专业新增校级以上教学竞赛、名师、团队等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项。</w:t>
            </w:r>
          </w:p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“双师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双能</w:t>
            </w:r>
            <w:r>
              <w:rPr>
                <w:rFonts w:hint="eastAsia" w:ascii="仿宋" w:hAnsi="仿宋" w:eastAsia="仿宋" w:cs="仿宋"/>
                <w:sz w:val="24"/>
              </w:rPr>
              <w:t>型”教师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占比</w:t>
            </w:r>
            <w:r>
              <w:rPr>
                <w:rFonts w:hint="eastAsia" w:ascii="仿宋" w:hAnsi="仿宋" w:eastAsia="仿宋" w:cs="仿宋"/>
                <w:sz w:val="24"/>
              </w:rPr>
              <w:t>达到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4"/>
              </w:rPr>
              <w:t>0%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3483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例：已有省级教学名师1人，某某；“双师双能型”教师占比**%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0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例：新增省级教学名师1人，某某；“双师双能型”教师占比应达到30%以上，或加占比5%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新增省（校）级以上优秀基层教学组织奖励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次。</w:t>
            </w:r>
          </w:p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新增校级以上优秀基层教学组织奖励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次。</w:t>
            </w:r>
          </w:p>
        </w:tc>
        <w:tc>
          <w:tcPr>
            <w:tcW w:w="3483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例：已获得校级优秀基层教学组织奖励1次，2020年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0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例：新增得校级优秀基层教学组织奖励1次，2023年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52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教学资源建设</w:t>
            </w:r>
          </w:p>
        </w:tc>
        <w:tc>
          <w:tcPr>
            <w:tcW w:w="532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省一流专业至少新增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门省一流课程，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门校级一流课程，建设至少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门在线开放课程，并上线运行。</w:t>
            </w:r>
          </w:p>
          <w:p>
            <w:pPr>
              <w:pStyle w:val="17"/>
              <w:ind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校一流专业至少新增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门省一流课程，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门校级一流课程，建设至少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门在线开放课程，并上线运行。</w:t>
            </w:r>
          </w:p>
          <w:p>
            <w:pPr>
              <w:pStyle w:val="17"/>
              <w:ind w:firstLine="0" w:firstLineChars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3.实施课程考试改革，教考分离课程省（校）一流专业达到20门以上；开展课程试题库资源建设。</w:t>
            </w:r>
          </w:p>
        </w:tc>
        <w:tc>
          <w:tcPr>
            <w:tcW w:w="3483" w:type="dxa"/>
            <w:tcBorders>
              <w:bottom w:val="single" w:color="auto" w:sz="4" w:space="0"/>
            </w:tcBorders>
          </w:tcPr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1.**课被确立为**年校级一流课；</w:t>
            </w:r>
          </w:p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2.**课建设线上开放课程，**年*月学期上线运行</w:t>
            </w:r>
          </w:p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3.教考分离课程**门</w:t>
            </w:r>
          </w:p>
          <w:p>
            <w:pPr>
              <w:pStyle w:val="17"/>
              <w:ind w:left="0" w:leftChars="0" w:firstLine="0" w:firstLineChars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4.**门课程开展课程试题库资源建设。</w:t>
            </w:r>
          </w:p>
        </w:tc>
        <w:tc>
          <w:tcPr>
            <w:tcW w:w="380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1.新增2024年校级一流课**门；</w:t>
            </w:r>
          </w:p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2.**课建设线上开放课程，**年*月学期上线运行</w:t>
            </w:r>
          </w:p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3.教考分离课程**门</w:t>
            </w:r>
          </w:p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4.**门课程开展课程试题库资源建设。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2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9" w:type="dxa"/>
            <w:tcBorders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省（校）一流专业至少新增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部（套）校级规划教材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并应用于教学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17"/>
              <w:ind w:firstLine="0" w:firstLineChars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2.开发各教学环节教学（课程思政）案例，优秀案例省一流专业每年应至少3篇、校一流专业每年应至少2篇，且至少1篇为课程思政优秀案例。</w:t>
            </w:r>
          </w:p>
        </w:tc>
        <w:tc>
          <w:tcPr>
            <w:tcW w:w="3483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目前本专业教师主编的教材**部。</w:t>
            </w:r>
          </w:p>
        </w:tc>
        <w:tc>
          <w:tcPr>
            <w:tcW w:w="3803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新增主编教材**部</w:t>
            </w:r>
          </w:p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352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实验和实践教学平台</w:t>
            </w:r>
          </w:p>
        </w:tc>
        <w:tc>
          <w:tcPr>
            <w:tcW w:w="5329" w:type="dxa"/>
            <w:tcBorders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省一流专业至少新增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项省级虚拟仿真实验教学项目，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项校级虚拟仿真实验项目。</w:t>
            </w:r>
          </w:p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校一流专业至少新增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项校级虚拟仿真实验教学项目</w:t>
            </w:r>
          </w:p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省（校）一流专业的实验开出率达到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17"/>
              <w:ind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省（校）一流专业的毕业论文选题实现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）以上在实验、实习、工程实践和社会调查等社会实践中完成。</w:t>
            </w:r>
          </w:p>
          <w:p>
            <w:pPr>
              <w:pStyle w:val="17"/>
              <w:ind w:firstLine="0" w:firstLineChars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5.本专业校外实践教学基地省一流专业达到15个、校一流专业达到12个</w:t>
            </w:r>
          </w:p>
        </w:tc>
        <w:tc>
          <w:tcPr>
            <w:tcW w:w="3483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1.级别+项目名称+已有项目数量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2.（例：已有省级虚拟仿真实验项目1项）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3.实验开出率：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%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4.毕业论文在实验、实习、工程实践和社会调查等社会实践中完成的比例占：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%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5.目前专业校外实践教学基地数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3803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1.级别+项目名称+已有项目数量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2...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（例：新增省级虚拟仿真实验项目1项）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实验开出率：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%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毕业论文在实验、实习、工程实践和社会调查等社会实践中完成的比例占：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%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5.新增校外实践教学基地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2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教育教学改革成效</w:t>
            </w:r>
          </w:p>
        </w:tc>
        <w:tc>
          <w:tcPr>
            <w:tcW w:w="532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省一流专业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项省级教改项目，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项校级教改项目、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项教育部产学合作协同育人项目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均为本专业相关。</w:t>
            </w:r>
          </w:p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校一流专业获得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项省级教改项目，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项校级教改项目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均为本专业相关</w:t>
            </w:r>
          </w:p>
        </w:tc>
        <w:tc>
          <w:tcPr>
            <w:tcW w:w="348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（例：已有省级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教改项目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380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（例：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新增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教改项目</w:t>
            </w:r>
            <w:bookmarkStart w:id="0" w:name="_GoBack"/>
            <w:bookmarkEnd w:id="0"/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2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省一流专业至少新增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项省级教学成果奖</w:t>
            </w:r>
          </w:p>
          <w:p>
            <w:pPr>
              <w:pStyle w:val="17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校一流专业至少新增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项校级教学成果奖</w:t>
            </w:r>
          </w:p>
        </w:tc>
        <w:tc>
          <w:tcPr>
            <w:tcW w:w="348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（例：已有省级教学成果奖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380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（例：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新增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省级教学成果奖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2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1.本专业教师每年定期发表教研论文；</w:t>
            </w:r>
          </w:p>
          <w:p>
            <w:pPr>
              <w:pStyle w:val="17"/>
              <w:ind w:firstLine="0" w:firstLineChars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2.本专业教师每年发表代表学术论文5篇以上。</w:t>
            </w:r>
          </w:p>
        </w:tc>
        <w:tc>
          <w:tcPr>
            <w:tcW w:w="3483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2023年本专业教师发表教研论文**篇</w:t>
            </w:r>
          </w:p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2023年本专业教师发表学术论文**篇</w:t>
            </w:r>
          </w:p>
        </w:tc>
        <w:tc>
          <w:tcPr>
            <w:tcW w:w="380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ind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2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人才培养质量</w:t>
            </w:r>
          </w:p>
        </w:tc>
        <w:tc>
          <w:tcPr>
            <w:tcW w:w="5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学生参与教师科研、国家（省部）级大学生创新创业项目立项的省一流专业学生人数超过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0%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校一流专业达到20%以上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2.近四年学生发表</w:t>
            </w:r>
            <w:r>
              <w:rPr>
                <w:rFonts w:hint="eastAsia" w:ascii="仿宋" w:hAnsi="仿宋" w:eastAsia="仿宋" w:cs="仿宋"/>
                <w:sz w:val="24"/>
              </w:rPr>
              <w:t>学术论文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10篇以上；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3.近四年学生获得</w:t>
            </w:r>
            <w:r>
              <w:rPr>
                <w:rFonts w:hint="eastAsia" w:ascii="仿宋" w:hAnsi="仿宋" w:eastAsia="仿宋" w:cs="仿宋"/>
                <w:sz w:val="24"/>
              </w:rPr>
              <w:t>专利授权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数12个以上；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4.英语四级通过率省一流专业学生达到40%，校一流专业达到30%。</w:t>
            </w:r>
          </w:p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5.获得职业资格证书（专业技能相关）学生数占比提高。</w:t>
            </w:r>
          </w:p>
        </w:tc>
        <w:tc>
          <w:tcPr>
            <w:tcW w:w="34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目前，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本专业在校生：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参加教师科研项目的比例为</w:t>
            </w:r>
            <w:r>
              <w:rPr>
                <w:rFonts w:ascii="仿宋" w:hAnsi="仿宋" w:eastAsia="仿宋" w:cs="仿宋"/>
                <w:sz w:val="24"/>
              </w:rPr>
              <w:t>_____%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发表</w:t>
            </w:r>
            <w:r>
              <w:rPr>
                <w:rFonts w:hint="eastAsia" w:ascii="仿宋" w:hAnsi="仿宋" w:eastAsia="仿宋" w:cs="仿宋"/>
                <w:sz w:val="24"/>
              </w:rPr>
              <w:t>学术论文</w:t>
            </w:r>
            <w:r>
              <w:rPr>
                <w:rFonts w:ascii="仿宋" w:hAnsi="仿宋" w:eastAsia="仿宋" w:cs="仿宋"/>
                <w:sz w:val="24"/>
              </w:rPr>
              <w:t>_____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获准专利（著作权）</w:t>
            </w:r>
            <w:r>
              <w:rPr>
                <w:rFonts w:ascii="仿宋" w:hAnsi="仿宋" w:eastAsia="仿宋" w:cs="仿宋"/>
                <w:sz w:val="24"/>
              </w:rPr>
              <w:t>_____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国家（省部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sz w:val="24"/>
              </w:rPr>
              <w:t>）级大学生创新创业项目立项的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占比</w:t>
            </w:r>
            <w:r>
              <w:rPr>
                <w:rFonts w:ascii="仿宋" w:hAnsi="仿宋" w:eastAsia="仿宋" w:cs="仿宋"/>
                <w:sz w:val="24"/>
              </w:rPr>
              <w:t>_______%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2.2023届毕业生英语四级通过率</w:t>
            </w:r>
            <w:r>
              <w:rPr>
                <w:rFonts w:ascii="仿宋" w:hAnsi="仿宋" w:eastAsia="仿宋" w:cs="仿宋"/>
                <w:sz w:val="24"/>
              </w:rPr>
              <w:t>_______%</w:t>
            </w:r>
          </w:p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本专业在校生获得职业资格证书</w:t>
            </w:r>
            <w:r>
              <w:rPr>
                <w:rFonts w:ascii="仿宋" w:hAnsi="仿宋" w:eastAsia="仿宋" w:cs="仿宋"/>
                <w:sz w:val="24"/>
              </w:rPr>
              <w:t>_____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2024年本专业在校生：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参加教师科研项目的比例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达到</w:t>
            </w:r>
            <w:r>
              <w:rPr>
                <w:rFonts w:ascii="仿宋" w:hAnsi="仿宋" w:eastAsia="仿宋" w:cs="仿宋"/>
                <w:sz w:val="24"/>
              </w:rPr>
              <w:t>_____%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发表</w:t>
            </w:r>
            <w:r>
              <w:rPr>
                <w:rFonts w:hint="eastAsia" w:ascii="仿宋" w:hAnsi="仿宋" w:eastAsia="仿宋" w:cs="仿宋"/>
                <w:sz w:val="24"/>
              </w:rPr>
              <w:t>学术论文</w:t>
            </w:r>
            <w:r>
              <w:rPr>
                <w:rFonts w:ascii="仿宋" w:hAnsi="仿宋" w:eastAsia="仿宋" w:cs="仿宋"/>
                <w:sz w:val="24"/>
              </w:rPr>
              <w:t>_____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获准专利（著作权）</w:t>
            </w:r>
            <w:r>
              <w:rPr>
                <w:rFonts w:ascii="仿宋" w:hAnsi="仿宋" w:eastAsia="仿宋" w:cs="仿宋"/>
                <w:sz w:val="24"/>
              </w:rPr>
              <w:t>_____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国家（省部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sz w:val="24"/>
              </w:rPr>
              <w:t>）级大学生创新创业项目立项的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占比</w:t>
            </w:r>
            <w:r>
              <w:rPr>
                <w:rFonts w:ascii="仿宋" w:hAnsi="仿宋" w:eastAsia="仿宋" w:cs="仿宋"/>
                <w:sz w:val="24"/>
              </w:rPr>
              <w:t>_______%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2.2024届毕业生英语四级通过率达到</w:t>
            </w:r>
            <w:r>
              <w:rPr>
                <w:rFonts w:ascii="仿宋" w:hAnsi="仿宋" w:eastAsia="仿宋" w:cs="仿宋"/>
                <w:sz w:val="24"/>
              </w:rPr>
              <w:t>_______%</w:t>
            </w:r>
          </w:p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本专业在校生获得职业资格证书新增</w:t>
            </w:r>
            <w:r>
              <w:rPr>
                <w:rFonts w:ascii="仿宋" w:hAnsi="仿宋" w:eastAsia="仿宋" w:cs="仿宋"/>
                <w:sz w:val="24"/>
              </w:rPr>
              <w:t>_____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2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省一流专业生均参加学科竞赛（省级以上）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人次以上、获得国家级竞赛二等奖（银奖）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项以上。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校一流专业生均参加学科竞赛（校级以上）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人次以上、获得国家级竞赛三等奖（铜奖）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项以上</w:t>
            </w:r>
          </w:p>
        </w:tc>
        <w:tc>
          <w:tcPr>
            <w:tcW w:w="34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本专业在校学</w:t>
            </w:r>
            <w:r>
              <w:rPr>
                <w:rFonts w:hint="eastAsia" w:ascii="仿宋" w:hAnsi="仿宋" w:eastAsia="仿宋" w:cs="仿宋"/>
                <w:sz w:val="24"/>
              </w:rPr>
              <w:t>生参加学科竞赛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占比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本专业在校学</w:t>
            </w:r>
            <w:r>
              <w:rPr>
                <w:rFonts w:hint="eastAsia" w:ascii="仿宋" w:hAnsi="仿宋" w:eastAsia="仿宋" w:cs="仿宋"/>
                <w:sz w:val="24"/>
              </w:rPr>
              <w:t>生参加学科竞赛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占比达到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312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注：表中项目参考《普通高等学校本科教学工作状态数据平台》数据填报要求。</w:t>
      </w:r>
    </w:p>
    <w:p>
      <w:pPr>
        <w:rPr>
          <w:rFonts w:hint="eastAsia" w:ascii="楷体" w:hAnsi="楷体" w:eastAsia="楷体"/>
          <w:b/>
          <w:sz w:val="32"/>
          <w:szCs w:val="32"/>
        </w:rPr>
      </w:pPr>
    </w:p>
    <w:p>
      <w:pPr>
        <w:rPr>
          <w:rFonts w:hint="default" w:ascii="楷体" w:hAnsi="楷体" w:eastAsia="楷体"/>
          <w:b/>
          <w:sz w:val="32"/>
          <w:szCs w:val="32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 xml:space="preserve"> </w:t>
      </w: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三、专业建设思路、举措</w:t>
      </w:r>
    </w:p>
    <w:tbl>
      <w:tblPr>
        <w:tblStyle w:val="7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</w:trPr>
        <w:tc>
          <w:tcPr>
            <w:tcW w:w="841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根据现状和预期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建设任务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之间的差距，简述围绕专业的培养目标进行专业综合改革、建设的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内容、思路、举措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，包括但不限于以下几个方面：立德树人机制（专业思政、课程思政）、专业管理规范、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优化课程体系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、师资队伍和基层教学组织建设、教学资源建设、实践教学与创新创业教育、提升人才培养质量等。（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限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3000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四、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2024</w:t>
      </w:r>
      <w:r>
        <w:rPr>
          <w:rFonts w:hint="eastAsia" w:ascii="楷体" w:hAnsi="楷体" w:eastAsia="楷体"/>
          <w:b/>
          <w:sz w:val="32"/>
          <w:szCs w:val="32"/>
        </w:rPr>
        <w:t>年度建设目标与安排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88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月份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建设目标与安排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经费使用规划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3588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3588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3588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3588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br w:type="page"/>
      </w:r>
      <w:r>
        <w:rPr>
          <w:rFonts w:hint="eastAsia" w:ascii="楷体" w:hAnsi="楷体" w:eastAsia="楷体"/>
          <w:b/>
          <w:sz w:val="32"/>
          <w:szCs w:val="32"/>
        </w:rPr>
        <w:t>五、系部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教学指导分委员会</w:t>
      </w:r>
      <w:r>
        <w:rPr>
          <w:rFonts w:hint="eastAsia" w:ascii="楷体" w:hAnsi="楷体" w:eastAsia="楷体"/>
          <w:b/>
          <w:sz w:val="32"/>
          <w:szCs w:val="32"/>
        </w:rPr>
        <w:t>审批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522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系部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教学指导分委员会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对本一流专业建设点实施方案的审核意见及支持措施：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教学指导分委员会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主任签字：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rPr>
          <w:rFonts w:hint="default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/>
          <w:b/>
          <w:sz w:val="32"/>
          <w:szCs w:val="32"/>
        </w:rPr>
        <w:t>、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评审专家意见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522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对本一流专业建设点实施方案的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建设实施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意见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与建议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rPr>
          <w:rFonts w:ascii="Times New Roman" w:hAnsi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10D3B"/>
    <w:multiLevelType w:val="singleLevel"/>
    <w:tmpl w:val="2B410D3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zMTRjNzRmMmU1ODY2MjY5Yzc5NWM3MzIyNDZlMjcifQ=="/>
  </w:docVars>
  <w:rsids>
    <w:rsidRoot w:val="00BD1F55"/>
    <w:rsid w:val="0002708B"/>
    <w:rsid w:val="00034272"/>
    <w:rsid w:val="000444A6"/>
    <w:rsid w:val="00066BAD"/>
    <w:rsid w:val="000704E0"/>
    <w:rsid w:val="00073BB9"/>
    <w:rsid w:val="000B2D72"/>
    <w:rsid w:val="000B40A3"/>
    <w:rsid w:val="000B4B0F"/>
    <w:rsid w:val="000C1DC8"/>
    <w:rsid w:val="000C3E0C"/>
    <w:rsid w:val="000D0C99"/>
    <w:rsid w:val="000E304F"/>
    <w:rsid w:val="000F69FA"/>
    <w:rsid w:val="00113237"/>
    <w:rsid w:val="0014665C"/>
    <w:rsid w:val="00150027"/>
    <w:rsid w:val="00150B42"/>
    <w:rsid w:val="0015335E"/>
    <w:rsid w:val="00163798"/>
    <w:rsid w:val="00180D82"/>
    <w:rsid w:val="001815B5"/>
    <w:rsid w:val="001945D5"/>
    <w:rsid w:val="00197C03"/>
    <w:rsid w:val="001A1265"/>
    <w:rsid w:val="001A5993"/>
    <w:rsid w:val="001C4592"/>
    <w:rsid w:val="001D35F7"/>
    <w:rsid w:val="001D4C23"/>
    <w:rsid w:val="001E06A8"/>
    <w:rsid w:val="001E4AE1"/>
    <w:rsid w:val="001F6955"/>
    <w:rsid w:val="0020332A"/>
    <w:rsid w:val="00205A1B"/>
    <w:rsid w:val="00213FCB"/>
    <w:rsid w:val="00214C52"/>
    <w:rsid w:val="0021673F"/>
    <w:rsid w:val="00227C8F"/>
    <w:rsid w:val="00230AD3"/>
    <w:rsid w:val="002310DF"/>
    <w:rsid w:val="00235EAC"/>
    <w:rsid w:val="00240C20"/>
    <w:rsid w:val="00255962"/>
    <w:rsid w:val="00264603"/>
    <w:rsid w:val="00273BDF"/>
    <w:rsid w:val="0027407E"/>
    <w:rsid w:val="00282387"/>
    <w:rsid w:val="002A7065"/>
    <w:rsid w:val="002B1E0C"/>
    <w:rsid w:val="002B3F29"/>
    <w:rsid w:val="002B4F9E"/>
    <w:rsid w:val="002D2D7E"/>
    <w:rsid w:val="002E274B"/>
    <w:rsid w:val="002E55E5"/>
    <w:rsid w:val="002F0D08"/>
    <w:rsid w:val="002F0E75"/>
    <w:rsid w:val="002F7969"/>
    <w:rsid w:val="0031298A"/>
    <w:rsid w:val="00314AF4"/>
    <w:rsid w:val="00327926"/>
    <w:rsid w:val="00340A1E"/>
    <w:rsid w:val="0035102E"/>
    <w:rsid w:val="0037014F"/>
    <w:rsid w:val="00371FA4"/>
    <w:rsid w:val="00376211"/>
    <w:rsid w:val="00376D0C"/>
    <w:rsid w:val="00377323"/>
    <w:rsid w:val="00377BFF"/>
    <w:rsid w:val="0039177A"/>
    <w:rsid w:val="00397012"/>
    <w:rsid w:val="003A18C1"/>
    <w:rsid w:val="003A2B8D"/>
    <w:rsid w:val="003B0FB1"/>
    <w:rsid w:val="003B2D37"/>
    <w:rsid w:val="003D1F0C"/>
    <w:rsid w:val="003D6591"/>
    <w:rsid w:val="003F452A"/>
    <w:rsid w:val="00401A9D"/>
    <w:rsid w:val="00402AA6"/>
    <w:rsid w:val="00404879"/>
    <w:rsid w:val="004261C6"/>
    <w:rsid w:val="00426CCE"/>
    <w:rsid w:val="00433468"/>
    <w:rsid w:val="00434971"/>
    <w:rsid w:val="004365FA"/>
    <w:rsid w:val="00441F09"/>
    <w:rsid w:val="00445DA2"/>
    <w:rsid w:val="00472548"/>
    <w:rsid w:val="00476A49"/>
    <w:rsid w:val="00484A6C"/>
    <w:rsid w:val="0049610A"/>
    <w:rsid w:val="00497970"/>
    <w:rsid w:val="004B18D8"/>
    <w:rsid w:val="004D16C9"/>
    <w:rsid w:val="004D3715"/>
    <w:rsid w:val="004D3EE7"/>
    <w:rsid w:val="004D49DD"/>
    <w:rsid w:val="004F630F"/>
    <w:rsid w:val="00502B36"/>
    <w:rsid w:val="00510455"/>
    <w:rsid w:val="00521BC8"/>
    <w:rsid w:val="005331AB"/>
    <w:rsid w:val="00534DE6"/>
    <w:rsid w:val="0053503A"/>
    <w:rsid w:val="00561E4D"/>
    <w:rsid w:val="00562617"/>
    <w:rsid w:val="00562EE8"/>
    <w:rsid w:val="00567D99"/>
    <w:rsid w:val="00575E12"/>
    <w:rsid w:val="00580BFA"/>
    <w:rsid w:val="00585939"/>
    <w:rsid w:val="0059094D"/>
    <w:rsid w:val="005943C9"/>
    <w:rsid w:val="005A5596"/>
    <w:rsid w:val="005B127A"/>
    <w:rsid w:val="005B1F4E"/>
    <w:rsid w:val="005B4063"/>
    <w:rsid w:val="005C7DFC"/>
    <w:rsid w:val="005D120D"/>
    <w:rsid w:val="005D34AD"/>
    <w:rsid w:val="005D6122"/>
    <w:rsid w:val="005E3E33"/>
    <w:rsid w:val="005F7CD2"/>
    <w:rsid w:val="00603D68"/>
    <w:rsid w:val="0060556E"/>
    <w:rsid w:val="00607752"/>
    <w:rsid w:val="00617A93"/>
    <w:rsid w:val="006208CF"/>
    <w:rsid w:val="006263A3"/>
    <w:rsid w:val="00627363"/>
    <w:rsid w:val="006329BB"/>
    <w:rsid w:val="0063689E"/>
    <w:rsid w:val="00643ECE"/>
    <w:rsid w:val="00654473"/>
    <w:rsid w:val="00666F6F"/>
    <w:rsid w:val="00670E04"/>
    <w:rsid w:val="00671401"/>
    <w:rsid w:val="00681B4A"/>
    <w:rsid w:val="00696DC0"/>
    <w:rsid w:val="006A028D"/>
    <w:rsid w:val="006A466D"/>
    <w:rsid w:val="006B08ED"/>
    <w:rsid w:val="006B0DCA"/>
    <w:rsid w:val="006B49A7"/>
    <w:rsid w:val="006B6688"/>
    <w:rsid w:val="006C5FEC"/>
    <w:rsid w:val="006C6118"/>
    <w:rsid w:val="006D6375"/>
    <w:rsid w:val="006E1EA6"/>
    <w:rsid w:val="006F0559"/>
    <w:rsid w:val="006F19F0"/>
    <w:rsid w:val="00705D34"/>
    <w:rsid w:val="00712050"/>
    <w:rsid w:val="00715FF5"/>
    <w:rsid w:val="00726449"/>
    <w:rsid w:val="00726BA6"/>
    <w:rsid w:val="0073068A"/>
    <w:rsid w:val="00744255"/>
    <w:rsid w:val="007466B1"/>
    <w:rsid w:val="00752FF9"/>
    <w:rsid w:val="0076229C"/>
    <w:rsid w:val="00767933"/>
    <w:rsid w:val="00776271"/>
    <w:rsid w:val="007815BE"/>
    <w:rsid w:val="00784FFE"/>
    <w:rsid w:val="0079550F"/>
    <w:rsid w:val="00796289"/>
    <w:rsid w:val="007A063E"/>
    <w:rsid w:val="007A4F79"/>
    <w:rsid w:val="007C0392"/>
    <w:rsid w:val="007C28B2"/>
    <w:rsid w:val="007C3591"/>
    <w:rsid w:val="007D018A"/>
    <w:rsid w:val="007E7A26"/>
    <w:rsid w:val="007F2C60"/>
    <w:rsid w:val="00804DDE"/>
    <w:rsid w:val="00814D09"/>
    <w:rsid w:val="00816FEB"/>
    <w:rsid w:val="00817206"/>
    <w:rsid w:val="008174AF"/>
    <w:rsid w:val="00820521"/>
    <w:rsid w:val="00821999"/>
    <w:rsid w:val="00823F0E"/>
    <w:rsid w:val="00841ACA"/>
    <w:rsid w:val="00860113"/>
    <w:rsid w:val="008720B2"/>
    <w:rsid w:val="00882477"/>
    <w:rsid w:val="00895D3C"/>
    <w:rsid w:val="008A6988"/>
    <w:rsid w:val="008A7053"/>
    <w:rsid w:val="008A742D"/>
    <w:rsid w:val="008B3086"/>
    <w:rsid w:val="008C26B3"/>
    <w:rsid w:val="008C6260"/>
    <w:rsid w:val="008C735F"/>
    <w:rsid w:val="008E64D2"/>
    <w:rsid w:val="008F129D"/>
    <w:rsid w:val="008F7C5E"/>
    <w:rsid w:val="009164A0"/>
    <w:rsid w:val="00916D74"/>
    <w:rsid w:val="00930815"/>
    <w:rsid w:val="00934B35"/>
    <w:rsid w:val="00934B74"/>
    <w:rsid w:val="00941C29"/>
    <w:rsid w:val="00943D83"/>
    <w:rsid w:val="00974EC1"/>
    <w:rsid w:val="009777D6"/>
    <w:rsid w:val="009832B2"/>
    <w:rsid w:val="0098587A"/>
    <w:rsid w:val="009874F1"/>
    <w:rsid w:val="00990E64"/>
    <w:rsid w:val="009950C4"/>
    <w:rsid w:val="00996BE4"/>
    <w:rsid w:val="009A2CF2"/>
    <w:rsid w:val="009A61D2"/>
    <w:rsid w:val="009B2017"/>
    <w:rsid w:val="009B29E1"/>
    <w:rsid w:val="009C3EE1"/>
    <w:rsid w:val="009C6F5E"/>
    <w:rsid w:val="009D367B"/>
    <w:rsid w:val="009E2E2E"/>
    <w:rsid w:val="009E51FC"/>
    <w:rsid w:val="009E5287"/>
    <w:rsid w:val="009E5C53"/>
    <w:rsid w:val="009F50DC"/>
    <w:rsid w:val="00A02434"/>
    <w:rsid w:val="00A122C3"/>
    <w:rsid w:val="00A16659"/>
    <w:rsid w:val="00A26885"/>
    <w:rsid w:val="00A3615B"/>
    <w:rsid w:val="00A52EBF"/>
    <w:rsid w:val="00A53660"/>
    <w:rsid w:val="00A5725D"/>
    <w:rsid w:val="00A64B71"/>
    <w:rsid w:val="00A67143"/>
    <w:rsid w:val="00A73A06"/>
    <w:rsid w:val="00A822D5"/>
    <w:rsid w:val="00A85E19"/>
    <w:rsid w:val="00A93900"/>
    <w:rsid w:val="00A9602D"/>
    <w:rsid w:val="00A97871"/>
    <w:rsid w:val="00AB0F8A"/>
    <w:rsid w:val="00AB35B8"/>
    <w:rsid w:val="00AB683D"/>
    <w:rsid w:val="00AD3522"/>
    <w:rsid w:val="00AD3E0C"/>
    <w:rsid w:val="00AD449A"/>
    <w:rsid w:val="00AE4448"/>
    <w:rsid w:val="00AE5F5E"/>
    <w:rsid w:val="00AE6F24"/>
    <w:rsid w:val="00AF0C0D"/>
    <w:rsid w:val="00AF5264"/>
    <w:rsid w:val="00AF5B49"/>
    <w:rsid w:val="00B109FB"/>
    <w:rsid w:val="00B12C72"/>
    <w:rsid w:val="00B1471C"/>
    <w:rsid w:val="00B21A1F"/>
    <w:rsid w:val="00B233B0"/>
    <w:rsid w:val="00B26811"/>
    <w:rsid w:val="00B31D7F"/>
    <w:rsid w:val="00B42B1F"/>
    <w:rsid w:val="00B42B51"/>
    <w:rsid w:val="00B43901"/>
    <w:rsid w:val="00B62748"/>
    <w:rsid w:val="00B63FA5"/>
    <w:rsid w:val="00B667E6"/>
    <w:rsid w:val="00B71922"/>
    <w:rsid w:val="00B919F3"/>
    <w:rsid w:val="00B9212A"/>
    <w:rsid w:val="00BA249A"/>
    <w:rsid w:val="00BB0E04"/>
    <w:rsid w:val="00BB2E47"/>
    <w:rsid w:val="00BC3A6F"/>
    <w:rsid w:val="00BC55AA"/>
    <w:rsid w:val="00BC7FAD"/>
    <w:rsid w:val="00BD1F55"/>
    <w:rsid w:val="00BD6E7A"/>
    <w:rsid w:val="00BE0F48"/>
    <w:rsid w:val="00BE5B9B"/>
    <w:rsid w:val="00BE7368"/>
    <w:rsid w:val="00C16A59"/>
    <w:rsid w:val="00C24AD0"/>
    <w:rsid w:val="00C34E4D"/>
    <w:rsid w:val="00C35F38"/>
    <w:rsid w:val="00C438CB"/>
    <w:rsid w:val="00C52833"/>
    <w:rsid w:val="00C52EC7"/>
    <w:rsid w:val="00C53238"/>
    <w:rsid w:val="00C539D0"/>
    <w:rsid w:val="00C64900"/>
    <w:rsid w:val="00C72DA1"/>
    <w:rsid w:val="00C74DF2"/>
    <w:rsid w:val="00C927E6"/>
    <w:rsid w:val="00C931E6"/>
    <w:rsid w:val="00CB4367"/>
    <w:rsid w:val="00CB4A05"/>
    <w:rsid w:val="00CC2419"/>
    <w:rsid w:val="00CD107A"/>
    <w:rsid w:val="00CD3DB6"/>
    <w:rsid w:val="00CD48D3"/>
    <w:rsid w:val="00CE7799"/>
    <w:rsid w:val="00D02AAB"/>
    <w:rsid w:val="00D05941"/>
    <w:rsid w:val="00D0655D"/>
    <w:rsid w:val="00D06AB9"/>
    <w:rsid w:val="00D13D22"/>
    <w:rsid w:val="00D15884"/>
    <w:rsid w:val="00D168C4"/>
    <w:rsid w:val="00D17375"/>
    <w:rsid w:val="00D20C0D"/>
    <w:rsid w:val="00D2639E"/>
    <w:rsid w:val="00D724FB"/>
    <w:rsid w:val="00D852AE"/>
    <w:rsid w:val="00D87D4C"/>
    <w:rsid w:val="00DA600E"/>
    <w:rsid w:val="00DA6EA4"/>
    <w:rsid w:val="00DB6AC9"/>
    <w:rsid w:val="00DB7131"/>
    <w:rsid w:val="00DC7EFD"/>
    <w:rsid w:val="00DD0870"/>
    <w:rsid w:val="00DD452E"/>
    <w:rsid w:val="00DD4F4F"/>
    <w:rsid w:val="00DD7166"/>
    <w:rsid w:val="00DE3D82"/>
    <w:rsid w:val="00DE3FFF"/>
    <w:rsid w:val="00E01308"/>
    <w:rsid w:val="00E133F0"/>
    <w:rsid w:val="00E2157C"/>
    <w:rsid w:val="00E243F2"/>
    <w:rsid w:val="00E27034"/>
    <w:rsid w:val="00E35751"/>
    <w:rsid w:val="00E36B83"/>
    <w:rsid w:val="00E41318"/>
    <w:rsid w:val="00E42C97"/>
    <w:rsid w:val="00E6427D"/>
    <w:rsid w:val="00E70C24"/>
    <w:rsid w:val="00E7499D"/>
    <w:rsid w:val="00E82DBE"/>
    <w:rsid w:val="00E86739"/>
    <w:rsid w:val="00E908AA"/>
    <w:rsid w:val="00E90BE2"/>
    <w:rsid w:val="00EA0FC4"/>
    <w:rsid w:val="00EA7536"/>
    <w:rsid w:val="00EB3B1C"/>
    <w:rsid w:val="00EB55A7"/>
    <w:rsid w:val="00EC6805"/>
    <w:rsid w:val="00EC6979"/>
    <w:rsid w:val="00EF02CA"/>
    <w:rsid w:val="00EF3D84"/>
    <w:rsid w:val="00F02EAE"/>
    <w:rsid w:val="00F0307A"/>
    <w:rsid w:val="00F079BA"/>
    <w:rsid w:val="00F118C9"/>
    <w:rsid w:val="00F1362A"/>
    <w:rsid w:val="00F240A7"/>
    <w:rsid w:val="00F314EA"/>
    <w:rsid w:val="00F337B7"/>
    <w:rsid w:val="00F34D99"/>
    <w:rsid w:val="00F409EE"/>
    <w:rsid w:val="00F40CAB"/>
    <w:rsid w:val="00F50764"/>
    <w:rsid w:val="00F52240"/>
    <w:rsid w:val="00F543B0"/>
    <w:rsid w:val="00F61F62"/>
    <w:rsid w:val="00F638CD"/>
    <w:rsid w:val="00F83804"/>
    <w:rsid w:val="00F84346"/>
    <w:rsid w:val="00F863BE"/>
    <w:rsid w:val="00F95B2A"/>
    <w:rsid w:val="00F973AE"/>
    <w:rsid w:val="00FB054B"/>
    <w:rsid w:val="00FB2427"/>
    <w:rsid w:val="00FB2D17"/>
    <w:rsid w:val="00FC01FF"/>
    <w:rsid w:val="00FC3230"/>
    <w:rsid w:val="00FC3350"/>
    <w:rsid w:val="00FC6B8A"/>
    <w:rsid w:val="00FD5B95"/>
    <w:rsid w:val="00FF243A"/>
    <w:rsid w:val="00FF2D87"/>
    <w:rsid w:val="03736D4D"/>
    <w:rsid w:val="03926DBC"/>
    <w:rsid w:val="03E606EB"/>
    <w:rsid w:val="03F63CA8"/>
    <w:rsid w:val="04960A4D"/>
    <w:rsid w:val="04C42EA2"/>
    <w:rsid w:val="075F50EB"/>
    <w:rsid w:val="07E70D40"/>
    <w:rsid w:val="0A7D3DE0"/>
    <w:rsid w:val="0B272498"/>
    <w:rsid w:val="0B5E624D"/>
    <w:rsid w:val="0C3239F7"/>
    <w:rsid w:val="0D3736E3"/>
    <w:rsid w:val="0E5863D3"/>
    <w:rsid w:val="0EB3546D"/>
    <w:rsid w:val="115D1350"/>
    <w:rsid w:val="118D01DD"/>
    <w:rsid w:val="12383BF2"/>
    <w:rsid w:val="128A74BD"/>
    <w:rsid w:val="13564F52"/>
    <w:rsid w:val="15030FA6"/>
    <w:rsid w:val="16B71B14"/>
    <w:rsid w:val="173847DB"/>
    <w:rsid w:val="17990A6E"/>
    <w:rsid w:val="17AC6401"/>
    <w:rsid w:val="186E32B6"/>
    <w:rsid w:val="1B654990"/>
    <w:rsid w:val="1B971BD5"/>
    <w:rsid w:val="1BEC631D"/>
    <w:rsid w:val="1E7A7C06"/>
    <w:rsid w:val="207F250F"/>
    <w:rsid w:val="20C35898"/>
    <w:rsid w:val="212843C8"/>
    <w:rsid w:val="21D06977"/>
    <w:rsid w:val="223D04A8"/>
    <w:rsid w:val="22D85BC0"/>
    <w:rsid w:val="23447490"/>
    <w:rsid w:val="23A41577"/>
    <w:rsid w:val="24BA71B4"/>
    <w:rsid w:val="24CB2307"/>
    <w:rsid w:val="24E90CC8"/>
    <w:rsid w:val="25910AE2"/>
    <w:rsid w:val="262A36CB"/>
    <w:rsid w:val="26495D44"/>
    <w:rsid w:val="29347D47"/>
    <w:rsid w:val="299058D5"/>
    <w:rsid w:val="29C16987"/>
    <w:rsid w:val="2A495A74"/>
    <w:rsid w:val="2BCA33A1"/>
    <w:rsid w:val="2DCB37F1"/>
    <w:rsid w:val="2EBB3BE3"/>
    <w:rsid w:val="2F8718BF"/>
    <w:rsid w:val="3050460D"/>
    <w:rsid w:val="30BF3F67"/>
    <w:rsid w:val="322E111D"/>
    <w:rsid w:val="32E2405E"/>
    <w:rsid w:val="330E5F20"/>
    <w:rsid w:val="3333202A"/>
    <w:rsid w:val="337B16C1"/>
    <w:rsid w:val="338C7D26"/>
    <w:rsid w:val="33A75BF5"/>
    <w:rsid w:val="34093E0D"/>
    <w:rsid w:val="36663D3F"/>
    <w:rsid w:val="374F56FD"/>
    <w:rsid w:val="37A846D9"/>
    <w:rsid w:val="38724556"/>
    <w:rsid w:val="3B6A4A66"/>
    <w:rsid w:val="3BE84DDB"/>
    <w:rsid w:val="3C0B0DDB"/>
    <w:rsid w:val="3D62504C"/>
    <w:rsid w:val="3E315142"/>
    <w:rsid w:val="3E4D468B"/>
    <w:rsid w:val="3F19754D"/>
    <w:rsid w:val="3F486A7D"/>
    <w:rsid w:val="3FD25286"/>
    <w:rsid w:val="402B3E00"/>
    <w:rsid w:val="40576FF8"/>
    <w:rsid w:val="415842EF"/>
    <w:rsid w:val="429C2349"/>
    <w:rsid w:val="454F42E6"/>
    <w:rsid w:val="45F53B18"/>
    <w:rsid w:val="464A1E81"/>
    <w:rsid w:val="468F1053"/>
    <w:rsid w:val="4A28045A"/>
    <w:rsid w:val="4A9E5257"/>
    <w:rsid w:val="4BE40976"/>
    <w:rsid w:val="4D0D7563"/>
    <w:rsid w:val="4D164A75"/>
    <w:rsid w:val="4DCD386B"/>
    <w:rsid w:val="4E887704"/>
    <w:rsid w:val="4F9B4F7B"/>
    <w:rsid w:val="505A2D55"/>
    <w:rsid w:val="50954734"/>
    <w:rsid w:val="50EF1BED"/>
    <w:rsid w:val="51311A5D"/>
    <w:rsid w:val="528442DC"/>
    <w:rsid w:val="52C95EDA"/>
    <w:rsid w:val="530C1471"/>
    <w:rsid w:val="534F17F7"/>
    <w:rsid w:val="53522F2B"/>
    <w:rsid w:val="537277AE"/>
    <w:rsid w:val="56D819CC"/>
    <w:rsid w:val="5756477B"/>
    <w:rsid w:val="578433EA"/>
    <w:rsid w:val="57932B09"/>
    <w:rsid w:val="58B905B6"/>
    <w:rsid w:val="5AAD0AC5"/>
    <w:rsid w:val="5B624B9B"/>
    <w:rsid w:val="5B9C0046"/>
    <w:rsid w:val="5FD610D3"/>
    <w:rsid w:val="605B6128"/>
    <w:rsid w:val="638132F5"/>
    <w:rsid w:val="651246B4"/>
    <w:rsid w:val="65886531"/>
    <w:rsid w:val="662326FA"/>
    <w:rsid w:val="667F4A1D"/>
    <w:rsid w:val="68582741"/>
    <w:rsid w:val="6A4F2EA4"/>
    <w:rsid w:val="6EB01968"/>
    <w:rsid w:val="702F3DD7"/>
    <w:rsid w:val="727C0762"/>
    <w:rsid w:val="739557D8"/>
    <w:rsid w:val="7476258E"/>
    <w:rsid w:val="74773E02"/>
    <w:rsid w:val="748E4468"/>
    <w:rsid w:val="749577E7"/>
    <w:rsid w:val="750664B6"/>
    <w:rsid w:val="750A0FE2"/>
    <w:rsid w:val="76241686"/>
    <w:rsid w:val="765E30BE"/>
    <w:rsid w:val="76D63965"/>
    <w:rsid w:val="777B43EA"/>
    <w:rsid w:val="790B2D2A"/>
    <w:rsid w:val="79205117"/>
    <w:rsid w:val="79F745D7"/>
    <w:rsid w:val="7AEC7D26"/>
    <w:rsid w:val="7BAA5D5D"/>
    <w:rsid w:val="7C5E6F70"/>
    <w:rsid w:val="7D3A7E39"/>
    <w:rsid w:val="7DBF6D54"/>
    <w:rsid w:val="7ED3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11">
    <w:name w:val="批注文字 字符"/>
    <w:link w:val="2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12">
    <w:name w:val="批注框文本 字符"/>
    <w:link w:val="3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字符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5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批注主题 字符"/>
    <w:link w:val="6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paragraph" w:customStyle="1" w:styleId="16">
    <w:name w:val="修订1"/>
    <w:autoRedefine/>
    <w: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1375</Words>
  <Characters>7843</Characters>
  <Lines>65</Lines>
  <Paragraphs>18</Paragraphs>
  <TotalTime>5</TotalTime>
  <ScaleCrop>false</ScaleCrop>
  <LinksUpToDate>false</LinksUpToDate>
  <CharactersWithSpaces>9200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2022-04-26T01:22:00Z</dcterms:created>
  <dc:creator>USER</dc:creator>
  <cp:lastModifiedBy>华氏英雄</cp:lastModifiedBy>
  <dcterms:modified xsi:type="dcterms:W3CDTF">2024-03-16T01:44:51Z</dcterms:modified>
  <dc:title>附件 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24A5F2C160C845D79EFC9164BF6DB716_12</vt:lpwstr>
  </property>
</Properties>
</file>