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B2B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20" w:lineRule="exact"/>
        <w:ind w:left="0" w:right="0"/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  <w:lang w:val="en-US" w:eastAsia="zh-CN"/>
        </w:rPr>
        <w:t>附件2</w:t>
      </w:r>
    </w:p>
    <w:p w14:paraId="0D81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 w14:paraId="04466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现代产业学院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基础条件</w:t>
      </w:r>
    </w:p>
    <w:p w14:paraId="32E9C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 w14:paraId="072D70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现代产业学院应已具备或近期可以达到以下基础条件：</w:t>
      </w:r>
    </w:p>
    <w:p w14:paraId="5E389E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一、人才培养主要专业与区域产业发展具有高度契合性，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鼓励高校依托优势领域交叉学科专业开展现代产业学院建设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；</w:t>
      </w:r>
    </w:p>
    <w:p w14:paraId="4E0DA7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二、相关产业列入区域发展整体规划；参与的企业主体参考产教融合型企业相关要求，在区域产业链条中居主要地位，或在区域产业集群中居关键地位；</w:t>
      </w:r>
    </w:p>
    <w:p w14:paraId="3F7AD9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三、具有相对稳定的高水平教学团队；</w:t>
      </w:r>
    </w:p>
    <w:p w14:paraId="2ECBED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四、相关企业主体参与的兼职教师人员，中、高级专业技术职务的人员数量不低于高校专职教师的数量；</w:t>
      </w:r>
    </w:p>
    <w:p w14:paraId="2E4D56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五、加强产教融合，实践教学学时不低于专业人才培养方案总学时的30%；</w:t>
      </w:r>
    </w:p>
    <w:p w14:paraId="6D4C18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六、具有相对丰富的教学资源；</w:t>
      </w:r>
    </w:p>
    <w:p w14:paraId="19541C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七、初步形成理念先进、顺畅运行的管理体系；</w:t>
      </w:r>
    </w:p>
    <w:p w14:paraId="262D0F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八、学校能够提供相对集中、面积充足的物理空间，每年提供稳定的经费支持，用于人员聘任、日常运行；</w:t>
      </w:r>
    </w:p>
    <w:p w14:paraId="41B57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校给予发展所需政策扶持。</w:t>
      </w:r>
    </w:p>
    <w:p w14:paraId="0CC248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97BCB"/>
    <w:rsid w:val="2AE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2025-06-09T04:22:00Z</dcterms:created>
  <dc:creator>╰✦゛LaGogo ルヾ</dc:creator>
  <cp:lastModifiedBy>╰✦゛LaGogo ルヾ</cp:lastModifiedBy>
  <dcterms:modified xsi:type="dcterms:W3CDTF">2025-06-09T04:22:30Z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89244570A02E4C96878F5578F638570C_11</vt:lpwstr>
  </property>
  <property fmtid="{D5CDD505-2E9C-101B-9397-08002B2CF9AE}" pid="4" name="KSOTemplateDocerSaveRecord">
    <vt:lpwstr>eyJoZGlkIjoiMmQyOThhMzNkZmE1OTAxOTkxMTk5Y2ZjNzZmNjU1YTYiLCJ1c2VySWQiOiIxOTc2MzA4NDEifQ==</vt:lpwstr>
  </property>
</Properties>
</file>